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70A6" w14:textId="77777777" w:rsidR="005C6317" w:rsidRDefault="005C6317" w:rsidP="005C6317">
      <w:pPr>
        <w:spacing w:afterLines="50" w:after="156"/>
        <w:jc w:val="center"/>
        <w:rPr>
          <w:rFonts w:ascii="Times New Roman" w:eastAsia="华文仿宋" w:hAnsi="Times New Roman" w:cs="Times New Roman"/>
          <w:b/>
          <w:sz w:val="44"/>
          <w:szCs w:val="36"/>
        </w:rPr>
      </w:pPr>
      <w:r>
        <w:rPr>
          <w:rFonts w:ascii="Times New Roman" w:eastAsia="华文仿宋" w:hAnsi="Times New Roman" w:cs="Times New Roman" w:hint="eastAsia"/>
          <w:b/>
          <w:sz w:val="44"/>
          <w:szCs w:val="36"/>
        </w:rPr>
        <w:t>东北林业大学建设工程管理审计办法</w:t>
      </w:r>
    </w:p>
    <w:p w14:paraId="14098A11" w14:textId="77777777" w:rsidR="005C6317" w:rsidRDefault="005C6317" w:rsidP="005C6317">
      <w:pPr>
        <w:jc w:val="center"/>
        <w:rPr>
          <w:rFonts w:ascii="Times New Roman" w:eastAsia="华文仿宋" w:hAnsi="Times New Roman" w:cs="Times New Roman"/>
          <w:b/>
          <w:bCs/>
          <w:sz w:val="32"/>
          <w:szCs w:val="28"/>
        </w:rPr>
      </w:pPr>
      <w:r>
        <w:rPr>
          <w:rFonts w:ascii="Times New Roman" w:eastAsia="华文仿宋" w:hAnsi="Times New Roman" w:cs="Times New Roman" w:hint="eastAsia"/>
          <w:b/>
          <w:bCs/>
          <w:sz w:val="32"/>
          <w:szCs w:val="28"/>
        </w:rPr>
        <w:t>东林校发〔</w:t>
      </w:r>
      <w:r>
        <w:rPr>
          <w:rFonts w:ascii="Times New Roman" w:eastAsia="华文仿宋" w:hAnsi="Times New Roman" w:cs="Times New Roman"/>
          <w:b/>
          <w:bCs/>
          <w:sz w:val="32"/>
          <w:szCs w:val="28"/>
        </w:rPr>
        <w:t>2020</w:t>
      </w:r>
      <w:r>
        <w:rPr>
          <w:rFonts w:ascii="Times New Roman" w:eastAsia="华文仿宋" w:hAnsi="Times New Roman" w:cs="Times New Roman" w:hint="eastAsia"/>
          <w:b/>
          <w:bCs/>
          <w:sz w:val="32"/>
          <w:szCs w:val="28"/>
        </w:rPr>
        <w:t>〕</w:t>
      </w:r>
      <w:r>
        <w:rPr>
          <w:rFonts w:ascii="Times New Roman" w:eastAsia="华文仿宋" w:hAnsi="Times New Roman" w:cs="Times New Roman"/>
          <w:b/>
          <w:bCs/>
          <w:sz w:val="32"/>
          <w:szCs w:val="28"/>
        </w:rPr>
        <w:t>18</w:t>
      </w:r>
      <w:r>
        <w:rPr>
          <w:rFonts w:ascii="Times New Roman" w:eastAsia="华文仿宋" w:hAnsi="Times New Roman" w:cs="Times New Roman" w:hint="eastAsia"/>
          <w:b/>
          <w:bCs/>
          <w:sz w:val="32"/>
          <w:szCs w:val="28"/>
        </w:rPr>
        <w:t>号</w:t>
      </w:r>
    </w:p>
    <w:p w14:paraId="4D026818" w14:textId="77777777" w:rsidR="005C6317" w:rsidRDefault="005C6317" w:rsidP="005C6317">
      <w:pPr>
        <w:spacing w:beforeLines="100" w:before="312" w:afterLines="100" w:after="312" w:line="360" w:lineRule="auto"/>
        <w:jc w:val="center"/>
        <w:rPr>
          <w:rFonts w:ascii="Times New Roman" w:eastAsia="华文仿宋" w:hAnsi="Times New Roman" w:cs="Times New Roman"/>
          <w:b/>
          <w:bCs/>
          <w:color w:val="000000" w:themeColor="text1"/>
          <w:sz w:val="40"/>
          <w:szCs w:val="40"/>
        </w:rPr>
      </w:pPr>
      <w:r>
        <w:rPr>
          <w:rFonts w:ascii="Times New Roman" w:eastAsia="华文仿宋" w:hAnsi="Times New Roman" w:cs="Times New Roman" w:hint="eastAsia"/>
          <w:b/>
          <w:bCs/>
          <w:color w:val="000000" w:themeColor="text1"/>
          <w:sz w:val="40"/>
          <w:szCs w:val="40"/>
        </w:rPr>
        <w:t>第一章</w:t>
      </w:r>
      <w:r>
        <w:rPr>
          <w:rFonts w:ascii="Times New Roman" w:eastAsia="华文仿宋" w:hAnsi="Times New Roman" w:cs="Times New Roman"/>
          <w:b/>
          <w:bCs/>
          <w:color w:val="000000" w:themeColor="text1"/>
          <w:sz w:val="40"/>
          <w:szCs w:val="40"/>
        </w:rPr>
        <w:t xml:space="preserve">  </w:t>
      </w:r>
      <w:r>
        <w:rPr>
          <w:rFonts w:ascii="Times New Roman" w:eastAsia="华文仿宋" w:hAnsi="Times New Roman" w:cs="Times New Roman" w:hint="eastAsia"/>
          <w:b/>
          <w:bCs/>
          <w:color w:val="000000" w:themeColor="text1"/>
          <w:sz w:val="40"/>
          <w:szCs w:val="40"/>
        </w:rPr>
        <w:t>总</w:t>
      </w:r>
      <w:r>
        <w:rPr>
          <w:rFonts w:ascii="Times New Roman" w:eastAsia="华文仿宋" w:hAnsi="Times New Roman" w:cs="Times New Roman"/>
          <w:b/>
          <w:bCs/>
          <w:color w:val="000000" w:themeColor="text1"/>
          <w:sz w:val="40"/>
          <w:szCs w:val="40"/>
        </w:rPr>
        <w:t xml:space="preserve"> </w:t>
      </w:r>
      <w:r>
        <w:rPr>
          <w:rFonts w:ascii="Times New Roman" w:eastAsia="华文仿宋" w:hAnsi="Times New Roman" w:cs="Times New Roman" w:hint="eastAsia"/>
          <w:b/>
          <w:bCs/>
          <w:color w:val="000000" w:themeColor="text1"/>
          <w:sz w:val="40"/>
          <w:szCs w:val="40"/>
        </w:rPr>
        <w:t>则</w:t>
      </w:r>
    </w:p>
    <w:p w14:paraId="70604A37" w14:textId="77777777" w:rsidR="005C6317" w:rsidRDefault="005C6317" w:rsidP="005C6317">
      <w:pPr>
        <w:spacing w:beforeLines="50" w:before="156" w:afterLines="50" w:after="156" w:line="360" w:lineRule="auto"/>
        <w:ind w:firstLineChars="200" w:firstLine="721"/>
        <w:rPr>
          <w:rFonts w:ascii="Times New Roman" w:eastAsia="华文仿宋" w:hAnsi="Times New Roman" w:cs="Times New Roman"/>
          <w:color w:val="000000" w:themeColor="text1"/>
          <w:sz w:val="36"/>
          <w:szCs w:val="36"/>
        </w:rPr>
      </w:pPr>
      <w:r>
        <w:rPr>
          <w:rFonts w:ascii="Times New Roman" w:eastAsia="华文仿宋" w:hAnsi="Times New Roman" w:cs="Times New Roman" w:hint="eastAsia"/>
          <w:b/>
          <w:bCs/>
          <w:color w:val="000000" w:themeColor="text1"/>
          <w:sz w:val="36"/>
          <w:szCs w:val="36"/>
        </w:rPr>
        <w:t>第一条</w:t>
      </w:r>
      <w:r>
        <w:rPr>
          <w:rFonts w:ascii="Times New Roman" w:eastAsia="华文仿宋" w:hAnsi="Times New Roman" w:cs="Times New Roman"/>
          <w:b/>
          <w:bCs/>
          <w:color w:val="000000" w:themeColor="text1"/>
          <w:sz w:val="36"/>
          <w:szCs w:val="36"/>
        </w:rPr>
        <w:t xml:space="preserve">  </w:t>
      </w:r>
      <w:r>
        <w:rPr>
          <w:rFonts w:ascii="Times New Roman" w:eastAsia="华文仿宋" w:hAnsi="Times New Roman" w:cs="Times New Roman" w:hint="eastAsia"/>
          <w:color w:val="000000" w:themeColor="text1"/>
          <w:sz w:val="36"/>
          <w:szCs w:val="36"/>
        </w:rPr>
        <w:t>为了加强学校建设工程管理审计，完善内部控制、落实管理责任、提高资源绩效，根据《教育部关于加强直属高校建设工程管理审计的意见》（</w:t>
      </w:r>
      <w:proofErr w:type="gramStart"/>
      <w:r>
        <w:rPr>
          <w:rFonts w:ascii="Times New Roman" w:eastAsia="华文仿宋" w:hAnsi="Times New Roman" w:cs="Times New Roman" w:hint="eastAsia"/>
          <w:color w:val="000000" w:themeColor="text1"/>
          <w:sz w:val="36"/>
          <w:szCs w:val="36"/>
        </w:rPr>
        <w:t>教财〔</w:t>
      </w:r>
      <w:r>
        <w:rPr>
          <w:rFonts w:ascii="Times New Roman" w:eastAsia="华文仿宋" w:hAnsi="Times New Roman" w:cs="Times New Roman"/>
          <w:color w:val="000000" w:themeColor="text1"/>
          <w:sz w:val="36"/>
          <w:szCs w:val="36"/>
        </w:rPr>
        <w:t>2016</w:t>
      </w:r>
      <w:r>
        <w:rPr>
          <w:rFonts w:ascii="Times New Roman" w:eastAsia="华文仿宋" w:hAnsi="Times New Roman" w:cs="Times New Roman" w:hint="eastAsia"/>
          <w:color w:val="000000" w:themeColor="text1"/>
          <w:sz w:val="36"/>
          <w:szCs w:val="36"/>
        </w:rPr>
        <w:t>〕</w:t>
      </w:r>
      <w:proofErr w:type="gramEnd"/>
      <w:r>
        <w:rPr>
          <w:rFonts w:ascii="Times New Roman" w:eastAsia="华文仿宋" w:hAnsi="Times New Roman" w:cs="Times New Roman"/>
          <w:color w:val="000000" w:themeColor="text1"/>
          <w:sz w:val="36"/>
          <w:szCs w:val="36"/>
        </w:rPr>
        <w:t xml:space="preserve">11 </w:t>
      </w:r>
      <w:r>
        <w:rPr>
          <w:rFonts w:ascii="Times New Roman" w:eastAsia="华文仿宋" w:hAnsi="Times New Roman" w:cs="Times New Roman" w:hint="eastAsia"/>
          <w:color w:val="000000" w:themeColor="text1"/>
          <w:sz w:val="36"/>
          <w:szCs w:val="36"/>
        </w:rPr>
        <w:t>号）、《教育部直属高校基本建设管理办法（</w:t>
      </w:r>
      <w:r>
        <w:rPr>
          <w:rFonts w:ascii="Times New Roman" w:eastAsia="华文仿宋" w:hAnsi="Times New Roman" w:cs="Times New Roman"/>
          <w:color w:val="000000" w:themeColor="text1"/>
          <w:sz w:val="36"/>
          <w:szCs w:val="36"/>
        </w:rPr>
        <w:t>2017</w:t>
      </w:r>
      <w:r>
        <w:rPr>
          <w:rFonts w:ascii="Times New Roman" w:eastAsia="华文仿宋" w:hAnsi="Times New Roman" w:cs="Times New Roman" w:hint="eastAsia"/>
          <w:color w:val="000000" w:themeColor="text1"/>
          <w:sz w:val="36"/>
          <w:szCs w:val="36"/>
        </w:rPr>
        <w:t>年修订）》和《教育系统内部审计工作规定》（教育部令第</w:t>
      </w:r>
      <w:r>
        <w:rPr>
          <w:rFonts w:ascii="Times New Roman" w:eastAsia="华文仿宋" w:hAnsi="Times New Roman" w:cs="Times New Roman"/>
          <w:color w:val="000000" w:themeColor="text1"/>
          <w:sz w:val="36"/>
          <w:szCs w:val="36"/>
        </w:rPr>
        <w:t>47</w:t>
      </w:r>
      <w:r>
        <w:rPr>
          <w:rFonts w:ascii="Times New Roman" w:eastAsia="华文仿宋" w:hAnsi="Times New Roman" w:cs="Times New Roman" w:hint="eastAsia"/>
          <w:color w:val="000000" w:themeColor="text1"/>
          <w:sz w:val="36"/>
          <w:szCs w:val="36"/>
        </w:rPr>
        <w:t>号）等相关规定，结合学校实际，制定本办法。</w:t>
      </w:r>
    </w:p>
    <w:p w14:paraId="390C1698" w14:textId="77777777" w:rsidR="005C6317" w:rsidRDefault="005C6317" w:rsidP="005C6317">
      <w:pPr>
        <w:spacing w:beforeLines="50" w:before="156" w:afterLines="50" w:after="156" w:line="360" w:lineRule="auto"/>
        <w:ind w:firstLineChars="200" w:firstLine="721"/>
        <w:rPr>
          <w:rFonts w:ascii="Times New Roman" w:eastAsia="华文仿宋" w:hAnsi="Times New Roman" w:cs="Times New Roman"/>
          <w:color w:val="000000" w:themeColor="text1"/>
          <w:sz w:val="36"/>
          <w:szCs w:val="36"/>
        </w:rPr>
      </w:pPr>
      <w:r>
        <w:rPr>
          <w:rFonts w:ascii="Times New Roman" w:eastAsia="华文仿宋" w:hAnsi="Times New Roman" w:cs="Times New Roman" w:hint="eastAsia"/>
          <w:b/>
          <w:bCs/>
          <w:color w:val="000000" w:themeColor="text1"/>
          <w:sz w:val="36"/>
          <w:szCs w:val="36"/>
        </w:rPr>
        <w:t>第二条</w:t>
      </w:r>
      <w:r>
        <w:rPr>
          <w:rFonts w:ascii="Times New Roman" w:eastAsia="华文仿宋" w:hAnsi="Times New Roman" w:cs="Times New Roman"/>
          <w:b/>
          <w:bCs/>
          <w:color w:val="000000" w:themeColor="text1"/>
          <w:sz w:val="36"/>
          <w:szCs w:val="36"/>
        </w:rPr>
        <w:t xml:space="preserve">  </w:t>
      </w:r>
      <w:r>
        <w:rPr>
          <w:rFonts w:ascii="Times New Roman" w:eastAsia="华文仿宋" w:hAnsi="Times New Roman" w:cs="Times New Roman" w:hint="eastAsia"/>
          <w:color w:val="000000"/>
          <w:sz w:val="36"/>
          <w:szCs w:val="36"/>
        </w:rPr>
        <w:t>本办法适用于学校各类资金来源的新建、改建、扩建、拆除及修缮等工程（以下统称建设工程）。</w:t>
      </w:r>
    </w:p>
    <w:p w14:paraId="1FCB8D61" w14:textId="77777777" w:rsidR="005C6317" w:rsidRDefault="005C6317" w:rsidP="005C6317">
      <w:pPr>
        <w:spacing w:beforeLines="50" w:before="156" w:afterLines="50" w:after="156" w:line="360" w:lineRule="auto"/>
        <w:ind w:firstLineChars="200" w:firstLine="721"/>
        <w:rPr>
          <w:rFonts w:ascii="Times New Roman" w:eastAsia="华文仿宋" w:hAnsi="Times New Roman" w:cs="Times New Roman"/>
          <w:color w:val="000000" w:themeColor="text1"/>
          <w:sz w:val="36"/>
          <w:szCs w:val="36"/>
        </w:rPr>
      </w:pPr>
      <w:r>
        <w:rPr>
          <w:rFonts w:ascii="Times New Roman" w:eastAsia="华文仿宋" w:hAnsi="Times New Roman" w:cs="Times New Roman" w:hint="eastAsia"/>
          <w:b/>
          <w:bCs/>
          <w:color w:val="000000" w:themeColor="text1"/>
          <w:sz w:val="36"/>
          <w:szCs w:val="36"/>
        </w:rPr>
        <w:t>第三条</w:t>
      </w:r>
      <w:r>
        <w:rPr>
          <w:rFonts w:ascii="Times New Roman" w:eastAsia="华文仿宋" w:hAnsi="Times New Roman" w:cs="Times New Roman"/>
          <w:b/>
          <w:bCs/>
          <w:color w:val="000000" w:themeColor="text1"/>
          <w:sz w:val="36"/>
          <w:szCs w:val="36"/>
        </w:rPr>
        <w:t xml:space="preserve">  </w:t>
      </w:r>
      <w:r>
        <w:rPr>
          <w:rFonts w:ascii="Times New Roman" w:eastAsia="华文仿宋" w:hAnsi="Times New Roman" w:cs="Times New Roman" w:hint="eastAsia"/>
          <w:color w:val="000000" w:themeColor="text1"/>
          <w:sz w:val="36"/>
          <w:szCs w:val="36"/>
        </w:rPr>
        <w:t>建设工程管理审计是对建设工程业务活动及其内部控制的适当性、有效性进行的确认和评价活动，应遵循客观性原则、法制性原则、重点性原则、独立性原则和准确性原则。</w:t>
      </w:r>
    </w:p>
    <w:p w14:paraId="5EFB72A4" w14:textId="77777777" w:rsidR="005C6317" w:rsidRDefault="005C6317" w:rsidP="005C6317">
      <w:pPr>
        <w:spacing w:beforeLines="50" w:before="156" w:afterLines="50" w:after="156" w:line="360" w:lineRule="auto"/>
        <w:ind w:firstLineChars="200" w:firstLine="721"/>
        <w:rPr>
          <w:rFonts w:ascii="Times New Roman" w:eastAsia="华文仿宋" w:hAnsi="Times New Roman" w:cs="Times New Roman"/>
          <w:color w:val="000000" w:themeColor="text1"/>
          <w:sz w:val="36"/>
          <w:szCs w:val="36"/>
        </w:rPr>
      </w:pPr>
      <w:r>
        <w:rPr>
          <w:rFonts w:ascii="Times New Roman" w:eastAsia="华文仿宋" w:hAnsi="Times New Roman" w:cs="Times New Roman" w:hint="eastAsia"/>
          <w:b/>
          <w:bCs/>
          <w:color w:val="000000" w:themeColor="text1"/>
          <w:sz w:val="36"/>
          <w:szCs w:val="36"/>
        </w:rPr>
        <w:t>第四条</w:t>
      </w:r>
      <w:r>
        <w:rPr>
          <w:rFonts w:ascii="Times New Roman" w:eastAsia="华文仿宋" w:hAnsi="Times New Roman" w:cs="Times New Roman"/>
          <w:b/>
          <w:bCs/>
          <w:color w:val="000000" w:themeColor="text1"/>
          <w:sz w:val="36"/>
          <w:szCs w:val="36"/>
        </w:rPr>
        <w:t xml:space="preserve">  </w:t>
      </w:r>
      <w:r>
        <w:rPr>
          <w:rFonts w:ascii="Times New Roman" w:eastAsia="华文仿宋" w:hAnsi="Times New Roman" w:cs="Times New Roman" w:hint="eastAsia"/>
          <w:color w:val="000000" w:themeColor="text1"/>
          <w:sz w:val="36"/>
          <w:szCs w:val="36"/>
        </w:rPr>
        <w:t>建设工程管理审计包括：投资立项、勘察设计、施工准备、施工过程、竣工验收等各阶段的业务和管理活动。审计处根据建设工程实际和审计工</w:t>
      </w:r>
      <w:r>
        <w:rPr>
          <w:rFonts w:ascii="Times New Roman" w:eastAsia="华文仿宋" w:hAnsi="Times New Roman" w:cs="Times New Roman" w:hint="eastAsia"/>
          <w:color w:val="000000" w:themeColor="text1"/>
          <w:sz w:val="36"/>
          <w:szCs w:val="36"/>
        </w:rPr>
        <w:lastRenderedPageBreak/>
        <w:t>作需要，可以对上述全部内容进行审计，也可以选取部分内容实施审计。</w:t>
      </w:r>
    </w:p>
    <w:p w14:paraId="6F69E474" w14:textId="77777777" w:rsidR="005C6317" w:rsidRDefault="005C6317" w:rsidP="005C6317">
      <w:pPr>
        <w:spacing w:beforeLines="50" w:before="156" w:afterLines="50" w:after="156" w:line="360" w:lineRule="auto"/>
        <w:ind w:firstLineChars="200" w:firstLine="721"/>
        <w:rPr>
          <w:rFonts w:ascii="Times New Roman" w:eastAsia="华文仿宋" w:hAnsi="Times New Roman" w:cs="Times New Roman"/>
          <w:color w:val="FF0000"/>
          <w:sz w:val="36"/>
          <w:szCs w:val="36"/>
        </w:rPr>
      </w:pPr>
      <w:r>
        <w:rPr>
          <w:rFonts w:ascii="Times New Roman" w:eastAsia="华文仿宋" w:hAnsi="Times New Roman" w:cs="Times New Roman" w:hint="eastAsia"/>
          <w:b/>
          <w:bCs/>
          <w:color w:val="000000" w:themeColor="text1"/>
          <w:sz w:val="36"/>
          <w:szCs w:val="36"/>
        </w:rPr>
        <w:t>第五条</w:t>
      </w:r>
      <w:r>
        <w:rPr>
          <w:rFonts w:ascii="Times New Roman" w:eastAsia="华文仿宋" w:hAnsi="Times New Roman" w:cs="Times New Roman"/>
          <w:b/>
          <w:bCs/>
          <w:color w:val="000000" w:themeColor="text1"/>
          <w:sz w:val="36"/>
          <w:szCs w:val="36"/>
        </w:rPr>
        <w:t xml:space="preserve">  </w:t>
      </w:r>
      <w:r>
        <w:rPr>
          <w:rFonts w:ascii="Times New Roman" w:eastAsia="华文仿宋" w:hAnsi="Times New Roman" w:cs="Times New Roman" w:hint="eastAsia"/>
          <w:color w:val="000000" w:themeColor="text1"/>
          <w:sz w:val="36"/>
          <w:szCs w:val="36"/>
        </w:rPr>
        <w:t>建设工程管理审计对工程预算在</w:t>
      </w:r>
      <w:r>
        <w:rPr>
          <w:rFonts w:ascii="Times New Roman" w:eastAsia="华文仿宋" w:hAnsi="Times New Roman" w:cs="Times New Roman"/>
          <w:color w:val="000000" w:themeColor="text1"/>
          <w:sz w:val="36"/>
          <w:szCs w:val="36"/>
        </w:rPr>
        <w:t>200</w:t>
      </w:r>
      <w:r>
        <w:rPr>
          <w:rFonts w:ascii="Times New Roman" w:eastAsia="华文仿宋" w:hAnsi="Times New Roman" w:cs="Times New Roman" w:hint="eastAsia"/>
          <w:color w:val="000000" w:themeColor="text1"/>
          <w:sz w:val="36"/>
          <w:szCs w:val="36"/>
        </w:rPr>
        <w:t>万元（含</w:t>
      </w:r>
      <w:r>
        <w:rPr>
          <w:rFonts w:ascii="Times New Roman" w:eastAsia="华文仿宋" w:hAnsi="Times New Roman" w:cs="Times New Roman"/>
          <w:color w:val="000000" w:themeColor="text1"/>
          <w:sz w:val="36"/>
          <w:szCs w:val="36"/>
        </w:rPr>
        <w:t>200</w:t>
      </w:r>
      <w:r>
        <w:rPr>
          <w:rFonts w:ascii="Times New Roman" w:eastAsia="华文仿宋" w:hAnsi="Times New Roman" w:cs="Times New Roman" w:hint="eastAsia"/>
          <w:color w:val="000000" w:themeColor="text1"/>
          <w:sz w:val="36"/>
          <w:szCs w:val="36"/>
        </w:rPr>
        <w:t>万元）以上建设工程项目实施控制价审计，工程结算在</w:t>
      </w:r>
      <w:r>
        <w:rPr>
          <w:rFonts w:ascii="Times New Roman" w:eastAsia="华文仿宋" w:hAnsi="Times New Roman" w:cs="Times New Roman"/>
          <w:color w:val="000000" w:themeColor="text1"/>
          <w:sz w:val="36"/>
          <w:szCs w:val="36"/>
        </w:rPr>
        <w:t>10</w:t>
      </w:r>
      <w:r>
        <w:rPr>
          <w:rFonts w:ascii="Times New Roman" w:eastAsia="华文仿宋" w:hAnsi="Times New Roman" w:cs="Times New Roman" w:hint="eastAsia"/>
          <w:color w:val="000000" w:themeColor="text1"/>
          <w:sz w:val="36"/>
          <w:szCs w:val="36"/>
        </w:rPr>
        <w:t>万元（含</w:t>
      </w:r>
      <w:r>
        <w:rPr>
          <w:rFonts w:ascii="Times New Roman" w:eastAsia="华文仿宋" w:hAnsi="Times New Roman" w:cs="Times New Roman"/>
          <w:color w:val="000000" w:themeColor="text1"/>
          <w:sz w:val="36"/>
          <w:szCs w:val="36"/>
        </w:rPr>
        <w:t>10</w:t>
      </w:r>
      <w:r>
        <w:rPr>
          <w:rFonts w:ascii="Times New Roman" w:eastAsia="华文仿宋" w:hAnsi="Times New Roman" w:cs="Times New Roman" w:hint="eastAsia"/>
          <w:color w:val="000000" w:themeColor="text1"/>
          <w:sz w:val="36"/>
          <w:szCs w:val="36"/>
        </w:rPr>
        <w:t>万元）以上的建设工程项目实施工程结算审计，工程预算在</w:t>
      </w:r>
      <w:r>
        <w:rPr>
          <w:rFonts w:ascii="Times New Roman" w:eastAsia="华文仿宋" w:hAnsi="Times New Roman" w:cs="Times New Roman"/>
          <w:color w:val="000000" w:themeColor="text1"/>
          <w:sz w:val="36"/>
          <w:szCs w:val="36"/>
        </w:rPr>
        <w:t>1000</w:t>
      </w:r>
      <w:r>
        <w:rPr>
          <w:rFonts w:ascii="Times New Roman" w:eastAsia="华文仿宋" w:hAnsi="Times New Roman" w:cs="Times New Roman" w:hint="eastAsia"/>
          <w:color w:val="000000" w:themeColor="text1"/>
          <w:sz w:val="36"/>
          <w:szCs w:val="36"/>
        </w:rPr>
        <w:t>万元（含</w:t>
      </w:r>
      <w:r>
        <w:rPr>
          <w:rFonts w:ascii="Times New Roman" w:eastAsia="华文仿宋" w:hAnsi="Times New Roman" w:cs="Times New Roman"/>
          <w:color w:val="000000" w:themeColor="text1"/>
          <w:sz w:val="36"/>
          <w:szCs w:val="36"/>
        </w:rPr>
        <w:t>1000</w:t>
      </w:r>
      <w:r>
        <w:rPr>
          <w:rFonts w:ascii="Times New Roman" w:eastAsia="华文仿宋" w:hAnsi="Times New Roman" w:cs="Times New Roman" w:hint="eastAsia"/>
          <w:color w:val="000000" w:themeColor="text1"/>
          <w:sz w:val="36"/>
          <w:szCs w:val="36"/>
        </w:rPr>
        <w:t>万元）且施工期在</w:t>
      </w:r>
      <w:r>
        <w:rPr>
          <w:rFonts w:ascii="Times New Roman" w:eastAsia="华文仿宋" w:hAnsi="Times New Roman" w:cs="Times New Roman"/>
          <w:color w:val="000000" w:themeColor="text1"/>
          <w:sz w:val="36"/>
          <w:szCs w:val="36"/>
        </w:rPr>
        <w:t>6</w:t>
      </w:r>
      <w:r>
        <w:rPr>
          <w:rFonts w:ascii="Times New Roman" w:eastAsia="华文仿宋" w:hAnsi="Times New Roman" w:cs="Times New Roman" w:hint="eastAsia"/>
          <w:color w:val="000000" w:themeColor="text1"/>
          <w:sz w:val="36"/>
          <w:szCs w:val="36"/>
        </w:rPr>
        <w:t>个月（含</w:t>
      </w:r>
      <w:r>
        <w:rPr>
          <w:rFonts w:ascii="Times New Roman" w:eastAsia="华文仿宋" w:hAnsi="Times New Roman" w:cs="Times New Roman"/>
          <w:color w:val="000000" w:themeColor="text1"/>
          <w:sz w:val="36"/>
          <w:szCs w:val="36"/>
        </w:rPr>
        <w:t>6</w:t>
      </w:r>
      <w:r>
        <w:rPr>
          <w:rFonts w:ascii="Times New Roman" w:eastAsia="华文仿宋" w:hAnsi="Times New Roman" w:cs="Times New Roman" w:hint="eastAsia"/>
          <w:color w:val="000000" w:themeColor="text1"/>
          <w:sz w:val="36"/>
          <w:szCs w:val="36"/>
        </w:rPr>
        <w:t>个月）以上的建设工程项目实施过程审计。</w:t>
      </w:r>
    </w:p>
    <w:p w14:paraId="4C6E1F0A" w14:textId="77777777" w:rsidR="005C6317" w:rsidRDefault="005C6317" w:rsidP="005C6317">
      <w:pPr>
        <w:pStyle w:val="Default"/>
        <w:adjustRightInd/>
        <w:spacing w:beforeLines="50" w:before="156" w:afterLines="50" w:after="156" w:line="360" w:lineRule="auto"/>
        <w:ind w:firstLineChars="200" w:firstLine="721"/>
        <w:jc w:val="both"/>
        <w:rPr>
          <w:rFonts w:ascii="Times New Roman" w:eastAsia="华文仿宋" w:hAnsi="Times New Roman" w:cs="Times New Roman"/>
          <w:color w:val="000000" w:themeColor="text1"/>
          <w:sz w:val="36"/>
          <w:szCs w:val="36"/>
          <w:shd w:val="clear" w:color="auto" w:fill="FFFFFF"/>
        </w:rPr>
      </w:pPr>
      <w:r>
        <w:rPr>
          <w:rFonts w:ascii="Times New Roman" w:eastAsia="华文仿宋" w:hAnsi="Times New Roman" w:cs="Times New Roman" w:hint="eastAsia"/>
          <w:b/>
          <w:bCs/>
          <w:color w:val="000000" w:themeColor="text1"/>
          <w:sz w:val="36"/>
          <w:szCs w:val="36"/>
        </w:rPr>
        <w:t>第六条</w:t>
      </w:r>
      <w:r>
        <w:rPr>
          <w:rFonts w:ascii="Times New Roman" w:eastAsia="华文仿宋" w:hAnsi="Times New Roman" w:cs="Times New Roman"/>
          <w:b/>
          <w:bCs/>
          <w:color w:val="000000" w:themeColor="text1"/>
          <w:sz w:val="36"/>
          <w:szCs w:val="36"/>
        </w:rPr>
        <w:t xml:space="preserve">  </w:t>
      </w:r>
      <w:r>
        <w:rPr>
          <w:rFonts w:ascii="Times New Roman" w:eastAsia="华文仿宋" w:hAnsi="Times New Roman" w:cs="Times New Roman" w:hint="eastAsia"/>
          <w:color w:val="000000" w:themeColor="text1"/>
          <w:sz w:val="36"/>
          <w:szCs w:val="36"/>
        </w:rPr>
        <w:t>建设工程管理审计由学校审计部门组织实施，也可由审计部门根据工程规模与实际情况委托具有相应资质的社会中介机构实施工程项目管理审计，审计部门对委托社会中介机构的审计业务进行管理与监督。</w:t>
      </w:r>
      <w:r>
        <w:rPr>
          <w:rFonts w:ascii="Times New Roman" w:eastAsia="华文仿宋" w:hAnsi="Times New Roman" w:cs="Times New Roman" w:hint="eastAsia"/>
          <w:sz w:val="36"/>
          <w:szCs w:val="36"/>
          <w:shd w:val="clear" w:color="auto" w:fill="FFFFFF"/>
        </w:rPr>
        <w:t>专项资金建设工程审计咨询服务费按照国家规定列入建设成本。</w:t>
      </w:r>
    </w:p>
    <w:p w14:paraId="3526A060" w14:textId="77777777" w:rsidR="000A20DF" w:rsidRPr="005C6317" w:rsidRDefault="000A20DF"/>
    <w:sectPr w:rsidR="000A20DF" w:rsidRPr="005C6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altName w:val="Malgun Gothic Semilight"/>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17"/>
    <w:rsid w:val="000A20DF"/>
    <w:rsid w:val="005C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82BA"/>
  <w15:chartTrackingRefBased/>
  <w15:docId w15:val="{778B9AEC-EF2D-46DB-8080-F7DDDC36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3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317"/>
    <w:pPr>
      <w:widowControl w:val="0"/>
      <w:autoSpaceDE w:val="0"/>
      <w:autoSpaceDN w:val="0"/>
      <w:adjustRightInd w:val="0"/>
    </w:pPr>
    <w:rPr>
      <w:rFonts w:ascii="仿宋" w:hAnsi="仿宋" w:cs="仿宋"/>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2022-04-28T03:50:00Z</dcterms:created>
  <dcterms:modified xsi:type="dcterms:W3CDTF">2022-04-28T03:50:00Z</dcterms:modified>
</cp:coreProperties>
</file>