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Arial" w:hAnsi="Arial" w:cs="Arial"/>
          <w:i w:val="0"/>
          <w:iCs w:val="0"/>
          <w:caps w:val="0"/>
          <w:color w:val="333333"/>
          <w:spacing w:val="0"/>
          <w:sz w:val="21"/>
          <w:szCs w:val="21"/>
        </w:rPr>
      </w:pPr>
      <w:bookmarkStart w:id="0" w:name="_GoBack"/>
      <w:r>
        <w:rPr>
          <w:rFonts w:hint="default" w:ascii="Arial" w:hAnsi="Arial" w:cs="Arial"/>
          <w:b/>
          <w:bCs/>
          <w:i w:val="0"/>
          <w:iCs w:val="0"/>
          <w:caps w:val="0"/>
          <w:color w:val="333333"/>
          <w:spacing w:val="0"/>
          <w:sz w:val="21"/>
          <w:szCs w:val="21"/>
          <w:bdr w:val="none" w:color="auto" w:sz="0" w:space="0"/>
          <w:shd w:val="clear" w:fill="FFFFFF"/>
        </w:rPr>
        <w:t>必须招标的工程项目规定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第一条 为了确定必须招标的工程项目，规范招标投标活动，提高工作效率、降低企业成本、预防腐败，根据《</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"https://baike.sogou.com/lemma/ShowInnerLink.htm?lemmaId=2355652&amp;ss_c=ssc.citiao.link"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中华人民共和国招标投标法</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》第三条的规定，制定本规定。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第二条 全部或者部分使用国有资金投资或者国家融资的项目包括：（一）使用预算资金 200 万元人民币以上，并且该资金占投资额 10%以上的项目；（二）使用国有企业事业单位资金，并且该资金占控股或者主导地位的项目。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第三条 使用国际组织或者外国政府贷款、援助资金的项目包括：（一）使用世界银行、</w:t>
      </w:r>
      <w:r>
        <w:rPr>
          <w:rFonts w:hint="default" w:ascii="Arial" w:hAnsi="Arial" w:cs="Arial"/>
          <w:i w:val="0"/>
          <w:iCs w:val="0"/>
          <w:caps w:val="0"/>
          <w:color w:val="3366CC"/>
          <w:spacing w:val="0"/>
          <w:sz w:val="21"/>
          <w:szCs w:val="21"/>
          <w:u w:val="none"/>
          <w:bdr w:val="none" w:color="auto" w:sz="0" w:space="0"/>
          <w:shd w:val="clear" w:fill="FFFFFF"/>
        </w:rPr>
        <w:fldChar w:fldCharType="begin"/>
      </w:r>
      <w:r>
        <w:rPr>
          <w:rFonts w:hint="default" w:ascii="Arial" w:hAnsi="Arial" w:cs="Arial"/>
          <w:i w:val="0"/>
          <w:iCs w:val="0"/>
          <w:caps w:val="0"/>
          <w:color w:val="3366CC"/>
          <w:spacing w:val="0"/>
          <w:sz w:val="21"/>
          <w:szCs w:val="21"/>
          <w:u w:val="none"/>
          <w:bdr w:val="none" w:color="auto" w:sz="0" w:space="0"/>
          <w:shd w:val="clear" w:fill="FFFFFF"/>
        </w:rPr>
        <w:instrText xml:space="preserve"> HYPERLINK "https://baike.sogou.com/lemma/ShowInnerLink.htm?lemmaId=289636&amp;ss_c=ssc.citiao.link" \t "https://baike.sogou.com/_blank" </w:instrText>
      </w:r>
      <w:r>
        <w:rPr>
          <w:rFonts w:hint="default" w:ascii="Arial" w:hAnsi="Arial" w:cs="Arial"/>
          <w:i w:val="0"/>
          <w:iCs w:val="0"/>
          <w:caps w:val="0"/>
          <w:color w:val="3366CC"/>
          <w:spacing w:val="0"/>
          <w:sz w:val="21"/>
          <w:szCs w:val="21"/>
          <w:u w:val="none"/>
          <w:bdr w:val="none" w:color="auto" w:sz="0" w:space="0"/>
          <w:shd w:val="clear" w:fill="FFFFFF"/>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rPr>
        <w:t>亚洲开发银行</w:t>
      </w:r>
      <w:r>
        <w:rPr>
          <w:rFonts w:hint="default" w:ascii="Arial" w:hAnsi="Arial" w:cs="Arial"/>
          <w:i w:val="0"/>
          <w:iCs w:val="0"/>
          <w:caps w:val="0"/>
          <w:color w:val="3366CC"/>
          <w:spacing w:val="0"/>
          <w:sz w:val="21"/>
          <w:szCs w:val="21"/>
          <w:u w:val="none"/>
          <w:bdr w:val="none" w:color="auto" w:sz="0" w:space="0"/>
          <w:shd w:val="clear" w:fill="FFFFFF"/>
        </w:rPr>
        <w:fldChar w:fldCharType="end"/>
      </w:r>
      <w:r>
        <w:rPr>
          <w:rFonts w:hint="default" w:ascii="Arial" w:hAnsi="Arial" w:cs="Arial"/>
          <w:i w:val="0"/>
          <w:iCs w:val="0"/>
          <w:caps w:val="0"/>
          <w:color w:val="333333"/>
          <w:spacing w:val="0"/>
          <w:sz w:val="21"/>
          <w:szCs w:val="21"/>
          <w:bdr w:val="none" w:color="auto" w:sz="0" w:space="0"/>
          <w:shd w:val="clear" w:fill="FFFFFF"/>
        </w:rPr>
        <w:t>等国际组织贷款、援助资金的项目；（二）使用外国政府及其机构贷款、援助资金的项目。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第四条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第五条 本规定第二条至第四条规定范围内的项目，其勘察、设计、施工、监理以及与工程建设有关的重要设备、材料等的采购达到下列标准之一的，必须招标：（一）施工单项合同估算价在 400 万元人民币以上；（二）重要设备、材料等货物的采购，单项合同估算价在 200万元人民币以上；（三）勘察、设计、监理等服务的采购，单项合同估算价在 100万元人民币以上。同一项目中可以合并进行的勘察、设计、施工、监理以及与工程建设有关的重要设备、材料等的采购，合同估算价合计达到前款规定标准的，必须招标。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第六条 本规定自 2018 年 6 月 1 日起施行。</w:t>
      </w:r>
      <w:r>
        <w:rPr>
          <w:rFonts w:hint="default" w:ascii="Arial" w:hAnsi="Arial" w:cs="Arial"/>
          <w:i w:val="0"/>
          <w:iCs w:val="0"/>
          <w:caps w:val="0"/>
          <w:color w:val="3366CC"/>
          <w:spacing w:val="0"/>
          <w:sz w:val="21"/>
          <w:szCs w:val="21"/>
          <w:u w:val="none"/>
          <w:bdr w:val="none" w:color="auto" w:sz="0" w:space="0"/>
          <w:shd w:val="clear" w:fill="FFFFFF"/>
          <w:vertAlign w:val="superscript"/>
        </w:rPr>
        <w:fldChar w:fldCharType="begin"/>
      </w:r>
      <w:r>
        <w:rPr>
          <w:rFonts w:hint="default" w:ascii="Arial" w:hAnsi="Arial" w:cs="Arial"/>
          <w:i w:val="0"/>
          <w:iCs w:val="0"/>
          <w:caps w:val="0"/>
          <w:color w:val="3366CC"/>
          <w:spacing w:val="0"/>
          <w:sz w:val="21"/>
          <w:szCs w:val="21"/>
          <w:u w:val="none"/>
          <w:bdr w:val="none" w:color="auto" w:sz="0" w:space="0"/>
          <w:shd w:val="clear" w:fill="FFFFFF"/>
          <w:vertAlign w:val="superscript"/>
        </w:rPr>
        <w:instrText xml:space="preserve"> HYPERLINK "https://baike.sogou.com/v167713312.htm?fromTitle=%E5%BF%85%E9%A1%BB%E6%8B%9B%E6%A0%87%E7%9A%84%E5%B7%A5%E7%A8%8B%E9%A1%B9%E7%9B%AE%E8%A7%84%E5%AE%9A&amp;ch=frombaikevr" \l "quote2" </w:instrText>
      </w:r>
      <w:r>
        <w:rPr>
          <w:rFonts w:hint="default" w:ascii="Arial" w:hAnsi="Arial" w:cs="Arial"/>
          <w:i w:val="0"/>
          <w:iCs w:val="0"/>
          <w:caps w:val="0"/>
          <w:color w:val="3366CC"/>
          <w:spacing w:val="0"/>
          <w:sz w:val="21"/>
          <w:szCs w:val="21"/>
          <w:u w:val="none"/>
          <w:bdr w:val="none" w:color="auto" w:sz="0" w:space="0"/>
          <w:shd w:val="clear" w:fill="FFFFFF"/>
          <w:vertAlign w:val="superscript"/>
        </w:rPr>
        <w:fldChar w:fldCharType="separate"/>
      </w:r>
      <w:r>
        <w:rPr>
          <w:rStyle w:val="5"/>
          <w:rFonts w:hint="default" w:ascii="Arial" w:hAnsi="Arial" w:cs="Arial"/>
          <w:i w:val="0"/>
          <w:iCs w:val="0"/>
          <w:caps w:val="0"/>
          <w:color w:val="3366CC"/>
          <w:spacing w:val="0"/>
          <w:sz w:val="21"/>
          <w:szCs w:val="21"/>
          <w:u w:val="none"/>
          <w:bdr w:val="none" w:color="auto" w:sz="0" w:space="0"/>
          <w:shd w:val="clear" w:fill="FFFFFF"/>
          <w:vertAlign w:val="superscript"/>
        </w:rPr>
        <w:t>[2]</w:t>
      </w:r>
      <w:r>
        <w:rPr>
          <w:rFonts w:hint="default" w:ascii="Arial" w:hAnsi="Arial" w:cs="Arial"/>
          <w:i w:val="0"/>
          <w:iCs w:val="0"/>
          <w:caps w:val="0"/>
          <w:color w:val="3366CC"/>
          <w:spacing w:val="0"/>
          <w:sz w:val="21"/>
          <w:szCs w:val="21"/>
          <w:u w:val="none"/>
          <w:bdr w:val="none" w:color="auto" w:sz="0" w:space="0"/>
          <w:shd w:val="clear" w:fill="FFFFFF"/>
          <w:vertAlign w:val="superscript"/>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801"/>
    <w:rsid w:val="731C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2022-03-24T03:23:00Z</dcterms:created>
  <dc:creator>JSCD.</dc:creator>
  <cp:lastModifiedBy>JSCD.</cp:lastModifiedBy>
  <dcterms:modified xsi:type="dcterms:W3CDTF">2022-03-24T03:23:12Z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CF5DD0AC82E5460B850093855ECE2EA5</vt:lpwstr>
  </property>
</Properties>
</file>